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0E" w:rsidRDefault="00CC2B0E" w:rsidP="00CC2B0E">
      <w:pPr>
        <w:jc w:val="center"/>
        <w:rPr>
          <w:b/>
          <w:sz w:val="20"/>
          <w:szCs w:val="20"/>
          <w:lang w:val="uk-UA"/>
        </w:rPr>
      </w:pPr>
      <w:r>
        <w:rPr>
          <w:b/>
          <w:sz w:val="20"/>
          <w:szCs w:val="20"/>
          <w:lang w:val="uk-UA"/>
        </w:rPr>
        <w:t>ПОВІДОМЛЕННЯ</w:t>
      </w:r>
    </w:p>
    <w:p w:rsidR="00CC2B0E" w:rsidRDefault="00CC2B0E" w:rsidP="00CC2B0E">
      <w:pPr>
        <w:jc w:val="center"/>
        <w:rPr>
          <w:b/>
          <w:sz w:val="20"/>
          <w:szCs w:val="20"/>
          <w:lang w:val="uk-UA"/>
        </w:rPr>
      </w:pPr>
      <w:r>
        <w:rPr>
          <w:b/>
          <w:sz w:val="20"/>
          <w:szCs w:val="20"/>
          <w:lang w:val="uk-UA"/>
        </w:rPr>
        <w:t>про проведення річних Загальних зборів акціонерів</w:t>
      </w:r>
    </w:p>
    <w:p w:rsidR="00CC2B0E" w:rsidRDefault="00CC2B0E" w:rsidP="00CC2B0E">
      <w:pPr>
        <w:jc w:val="center"/>
        <w:rPr>
          <w:b/>
          <w:sz w:val="20"/>
          <w:szCs w:val="20"/>
          <w:lang w:val="uk-UA"/>
        </w:rPr>
      </w:pPr>
      <w:r>
        <w:rPr>
          <w:b/>
          <w:sz w:val="20"/>
          <w:szCs w:val="20"/>
          <w:lang w:val="uk-UA"/>
        </w:rPr>
        <w:t>Публічного акціонерного товариства  «ПОДІЛЬСЬКІ ТОВТРИ» 17 квітня 2018 р.</w:t>
      </w:r>
    </w:p>
    <w:p w:rsidR="00CC2B0E" w:rsidRDefault="00CC2B0E" w:rsidP="00CC2B0E">
      <w:pPr>
        <w:rPr>
          <w:color w:val="FF0000"/>
          <w:sz w:val="20"/>
          <w:szCs w:val="20"/>
        </w:rPr>
      </w:pPr>
    </w:p>
    <w:p w:rsidR="00CC2B0E" w:rsidRDefault="00CC2B0E" w:rsidP="00CC2B0E">
      <w:pPr>
        <w:jc w:val="both"/>
        <w:rPr>
          <w:b/>
          <w:sz w:val="20"/>
          <w:szCs w:val="20"/>
          <w:lang w:val="uk-UA"/>
        </w:rPr>
      </w:pPr>
      <w:r>
        <w:rPr>
          <w:b/>
          <w:color w:val="FF0000"/>
          <w:sz w:val="20"/>
          <w:szCs w:val="20"/>
          <w:lang w:val="uk-UA"/>
        </w:rPr>
        <w:tab/>
      </w:r>
      <w:r>
        <w:rPr>
          <w:b/>
          <w:sz w:val="20"/>
          <w:szCs w:val="20"/>
          <w:lang w:val="uk-UA"/>
        </w:rPr>
        <w:t xml:space="preserve">Публічне акціонерне товариство «ПОДІЛЬСЬКІ ТОВТРИ» </w:t>
      </w:r>
      <w:r>
        <w:rPr>
          <w:sz w:val="20"/>
          <w:szCs w:val="20"/>
          <w:lang w:val="uk-UA"/>
        </w:rPr>
        <w:t>код 03771123,</w:t>
      </w:r>
      <w:r>
        <w:rPr>
          <w:b/>
          <w:sz w:val="20"/>
          <w:szCs w:val="20"/>
          <w:lang w:val="uk-UA"/>
        </w:rPr>
        <w:t xml:space="preserve"> </w:t>
      </w:r>
      <w:r>
        <w:rPr>
          <w:sz w:val="20"/>
          <w:szCs w:val="20"/>
          <w:lang w:val="uk-UA"/>
        </w:rPr>
        <w:t xml:space="preserve">надалі – Товариство, повідомляє про проведення річних Загальних зборів акціонерів Товариства (надалі - Загальні збори), які відбудуться </w:t>
      </w:r>
      <w:r>
        <w:rPr>
          <w:b/>
          <w:sz w:val="20"/>
          <w:szCs w:val="20"/>
          <w:lang w:val="uk-UA"/>
        </w:rPr>
        <w:t>17 квітня 2018 р. об 11:00</w:t>
      </w:r>
      <w:r>
        <w:rPr>
          <w:sz w:val="20"/>
          <w:szCs w:val="20"/>
          <w:lang w:val="uk-UA"/>
        </w:rPr>
        <w:t>, за адресою: 32326, Хмельницька область, Кам’янець-Подільській район, село Вербка, вул. Заводська буд. 1, актовий зал.</w:t>
      </w:r>
    </w:p>
    <w:p w:rsidR="00CC2B0E" w:rsidRDefault="00CC2B0E" w:rsidP="00CC2B0E">
      <w:pPr>
        <w:jc w:val="both"/>
        <w:rPr>
          <w:sz w:val="20"/>
          <w:szCs w:val="20"/>
          <w:lang w:val="uk-UA"/>
        </w:rPr>
      </w:pPr>
      <w:r>
        <w:rPr>
          <w:sz w:val="20"/>
          <w:szCs w:val="20"/>
          <w:lang w:val="uk-UA"/>
        </w:rPr>
        <w:tab/>
        <w:t xml:space="preserve">Реєстрація учасників Загальних зборів буде проводитися </w:t>
      </w:r>
      <w:r>
        <w:rPr>
          <w:b/>
          <w:sz w:val="20"/>
          <w:szCs w:val="20"/>
          <w:lang w:val="uk-UA"/>
        </w:rPr>
        <w:t>17 квітня 2018 р. з 10:00 до 10:45</w:t>
      </w:r>
      <w:r>
        <w:rPr>
          <w:sz w:val="20"/>
          <w:szCs w:val="20"/>
          <w:lang w:val="uk-UA"/>
        </w:rPr>
        <w:t xml:space="preserve"> за місцевим часом за місцем їх проведення. Учасникам Загальних зборів – фізичним особам (акціонерам, представникам акціонерів) необхідно мати при собі документ, що посвідчує особу (паспорт). Представникам акціонерів необхідно додатково надати документ, що посвідчує повноваження представника (для керівників юридичних осіб – документ про призначення на посаду та виписку із статуту акціонера – юридичної особи, у якій визначені повноваження керівника діяти без довіреності, для інших представників – довіреність видану для участі у Загальних зборах, оформлену згідно з вимогами чинного законодавства України).</w:t>
      </w:r>
      <w:r>
        <w:rPr>
          <w:sz w:val="20"/>
          <w:szCs w:val="20"/>
        </w:rPr>
        <w:t xml:space="preserve"> Під час голосування на Зборах представник повинен голосувати саме так, як передбачено завданням щодо голосування в довіреності. Якщо довіреність не містить завдання щодо голосування, представник вирішує всі питання щодо голосування на Зборах на свій розсуд.</w:t>
      </w:r>
    </w:p>
    <w:p w:rsidR="00CC2B0E" w:rsidRDefault="00CC2B0E" w:rsidP="00CC2B0E">
      <w:pPr>
        <w:jc w:val="both"/>
        <w:rPr>
          <w:sz w:val="20"/>
          <w:szCs w:val="20"/>
          <w:lang w:val="uk-UA"/>
        </w:rPr>
      </w:pPr>
      <w:r>
        <w:rPr>
          <w:sz w:val="20"/>
          <w:szCs w:val="20"/>
          <w:lang w:val="uk-UA"/>
        </w:rPr>
        <w:tab/>
        <w:t>Документи повинні надавати можливість однозначно ідентифікувати особу як акціонера Товариства (згідно з переліком акціонерів Товариства, які мають право на участь у Загальних зборах, складеного станом на 24 годину 11 квітня 2018р.).</w:t>
      </w:r>
    </w:p>
    <w:p w:rsidR="00CC2B0E" w:rsidRDefault="00CC2B0E" w:rsidP="00CC2B0E">
      <w:pPr>
        <w:rPr>
          <w:b/>
          <w:color w:val="FF0000"/>
          <w:sz w:val="20"/>
          <w:szCs w:val="20"/>
          <w:lang w:val="uk-UA"/>
        </w:rPr>
      </w:pPr>
    </w:p>
    <w:p w:rsidR="00CC2B0E" w:rsidRDefault="00CC2B0E" w:rsidP="00CC2B0E">
      <w:pPr>
        <w:jc w:val="center"/>
        <w:rPr>
          <w:b/>
          <w:sz w:val="20"/>
          <w:szCs w:val="20"/>
          <w:lang w:val="uk-UA"/>
        </w:rPr>
      </w:pPr>
      <w:r>
        <w:rPr>
          <w:b/>
          <w:sz w:val="20"/>
          <w:szCs w:val="20"/>
          <w:lang w:val="uk-UA"/>
        </w:rPr>
        <w:t>Перелік питань разом з проектом рішень</w:t>
      </w:r>
      <w:r>
        <w:rPr>
          <w:sz w:val="20"/>
          <w:szCs w:val="20"/>
          <w:lang w:val="uk-UA"/>
        </w:rPr>
        <w:t xml:space="preserve"> </w:t>
      </w:r>
      <w:r>
        <w:rPr>
          <w:b/>
          <w:sz w:val="20"/>
          <w:szCs w:val="20"/>
          <w:lang w:val="uk-UA"/>
        </w:rPr>
        <w:t>щодо кожного з питань, включених до проекту порядку денного</w:t>
      </w:r>
    </w:p>
    <w:p w:rsidR="00CC2B0E" w:rsidRDefault="00CC2B0E" w:rsidP="00CC2B0E">
      <w:pPr>
        <w:numPr>
          <w:ilvl w:val="0"/>
          <w:numId w:val="1"/>
        </w:numPr>
        <w:shd w:val="clear" w:color="auto" w:fill="FFFFFF"/>
        <w:ind w:left="0" w:firstLine="0"/>
        <w:jc w:val="both"/>
        <w:rPr>
          <w:sz w:val="20"/>
          <w:szCs w:val="20"/>
          <w:lang w:val="uk-UA"/>
        </w:rPr>
      </w:pPr>
      <w:r>
        <w:rPr>
          <w:sz w:val="20"/>
          <w:szCs w:val="20"/>
          <w:lang w:val="uk-UA"/>
        </w:rPr>
        <w:t>Прийняття рішень з питань порядку проведення Загальних зборів: обрання голови і секретаря Загальних зборів, обрання лічильної комісії, визначення регламенту виступів, обговорення та голосування з питань порядку денного на Зборах.</w:t>
      </w:r>
    </w:p>
    <w:p w:rsidR="00CC2B0E" w:rsidRDefault="00CC2B0E" w:rsidP="00CC2B0E">
      <w:pPr>
        <w:keepNext/>
        <w:keepLines/>
        <w:jc w:val="both"/>
        <w:rPr>
          <w:i/>
          <w:sz w:val="20"/>
          <w:szCs w:val="20"/>
          <w:lang w:val="uk-UA"/>
        </w:rPr>
      </w:pPr>
      <w:r>
        <w:rPr>
          <w:b/>
          <w:sz w:val="20"/>
          <w:szCs w:val="20"/>
          <w:lang w:val="uk-UA"/>
        </w:rPr>
        <w:t>Пропонується (проект рішення):</w:t>
      </w:r>
      <w:r>
        <w:rPr>
          <w:sz w:val="20"/>
          <w:szCs w:val="20"/>
          <w:lang w:val="uk-UA"/>
        </w:rPr>
        <w:t xml:space="preserve"> </w:t>
      </w:r>
      <w:r>
        <w:rPr>
          <w:i/>
          <w:sz w:val="20"/>
          <w:szCs w:val="20"/>
          <w:lang w:val="uk-UA"/>
        </w:rPr>
        <w:t>Призначити головою Загальних зборів Заблуду Гану Іванівну і секретарем Загальних зборів Боднарчука Віталія Броніславовича.</w:t>
      </w:r>
      <w:r>
        <w:rPr>
          <w:b/>
          <w:i/>
          <w:sz w:val="20"/>
          <w:szCs w:val="20"/>
          <w:lang w:val="uk-UA"/>
        </w:rPr>
        <w:t xml:space="preserve"> </w:t>
      </w:r>
      <w:r>
        <w:rPr>
          <w:i/>
          <w:sz w:val="20"/>
          <w:szCs w:val="20"/>
          <w:lang w:val="uk-UA"/>
        </w:rPr>
        <w:t>Обрати членами лічильної комісії осіб, які входять до складу реєстраційної комісії, а саме Боброва Вячеслава Віталійовича, Моцик Людмилу Володимирівну та Соколюк Аллу Анатоліївну. Підтвердити повноваження зазначених осіб щодо підрахунку голосів та оформлення результатів голосування з цього питання порядку денного. Встановити, що повноваження членів лічильної комісії припиняються після остаточного підрахунку голосів по всіх питаннях порядку денного та складання протоколу Загальних зборів.</w:t>
      </w:r>
      <w:r>
        <w:rPr>
          <w:b/>
          <w:i/>
          <w:sz w:val="20"/>
          <w:szCs w:val="20"/>
          <w:lang w:val="uk-UA"/>
        </w:rPr>
        <w:t xml:space="preserve"> </w:t>
      </w:r>
      <w:r>
        <w:rPr>
          <w:i/>
          <w:sz w:val="20"/>
          <w:szCs w:val="20"/>
          <w:lang w:val="uk-UA"/>
        </w:rPr>
        <w:t>Затвердити наступний порядок проведення Загальних зборів: Загальні збори тривають до завершення розгляду всіх питань порядку денного, оголошення результатів голосування та прийнятих рішень. Голова Загальних зборів оголошує перерву кожні 3 (три) години безперервної роботи та в інших випадках на власний розсуд.</w:t>
      </w:r>
      <w:r>
        <w:rPr>
          <w:b/>
          <w:i/>
          <w:sz w:val="20"/>
          <w:szCs w:val="20"/>
          <w:lang w:val="uk-UA"/>
        </w:rPr>
        <w:t xml:space="preserve"> </w:t>
      </w:r>
      <w:r>
        <w:rPr>
          <w:i/>
          <w:sz w:val="20"/>
          <w:szCs w:val="20"/>
          <w:lang w:val="uk-UA"/>
        </w:rPr>
        <w:t>Голова Загальних зборів послідовно виносить на розгляд питання порядку денного Загальних зборів.</w:t>
      </w:r>
      <w:r>
        <w:rPr>
          <w:b/>
          <w:i/>
          <w:sz w:val="20"/>
          <w:szCs w:val="20"/>
          <w:lang w:val="uk-UA"/>
        </w:rPr>
        <w:t xml:space="preserve"> </w:t>
      </w:r>
      <w:r>
        <w:rPr>
          <w:i/>
          <w:sz w:val="20"/>
          <w:szCs w:val="20"/>
          <w:lang w:val="uk-UA"/>
        </w:rPr>
        <w:t>Розгляд кожного питання порядку денного відбувається згідно з наступним регламентом: доповідь/співдоповідь – до 15 хвилин; відповіді на запитання – до 2 (двох) хвилин на одне запитання (але не більше 15 хвилин на всі питання); виступи – до 3 (трьох) хвилин кожен виступ (але не більше 15 хвилин). За рішенням голови Загальних зборів, час, що надається для доповіді, для відповідей на питання або виступи може бути подвоєно. Питання ставляться доповідачам у письмовій формі (шляхом надання записок голові Загальних зборів) до моменту закінчення відповідної доповіді. Питання мають бути сформульовані коротко та чітко із зазначенням прізвища, ім’я та по-батькові акціонера або особи, що його представляє, і не містити оцінки доповіді або доповідача. Запитання, які не стосуються питання порядку денного, не розглядаються. Голова Загальних зборів може надати можливість задати питання без дотримання письмової форми в рамках часу, відведеного регламентом. Жоден з учасників Загальних зборів не має права виступати без дозволу голови Загальних зборів. Після обговорення голова Загальних зборів ставить на голосування проект рішення з питання порядку денного, що розглядається. За наявності декількох проектів рішень, вони виносяться на голосування в порядку черговості їх надходження до Товариства. При цьому, якщо проект рішення набрав необхідну кількість голосів для його прийняття, голосування з альтернативних проектів рішень не проводиться.</w:t>
      </w:r>
    </w:p>
    <w:p w:rsidR="00CC2B0E" w:rsidRDefault="00CC2B0E" w:rsidP="00CC2B0E">
      <w:pPr>
        <w:shd w:val="clear" w:color="auto" w:fill="FFFFFF"/>
        <w:jc w:val="both"/>
        <w:rPr>
          <w:i/>
          <w:sz w:val="20"/>
          <w:szCs w:val="20"/>
          <w:lang w:val="uk-UA"/>
        </w:rPr>
      </w:pPr>
      <w:r>
        <w:rPr>
          <w:i/>
          <w:sz w:val="20"/>
          <w:szCs w:val="20"/>
          <w:lang w:val="uk-UA"/>
        </w:rPr>
        <w:t>Перед початком голосування представник лічильної комісії пояснює акціонерам порядок голосування бюлетенями, в тому числі, порядок кумулятивного голосування. Переривання процесу голосування забороняється. Під час голосування слово нікому не надається. Підсумки голосування, що відбувалося під час проведення Загальних зборів, підбиваються членами лічильної комісії і оголошуються відразу після їх підбиття, але до завершення Загальних зборів. У разі, якщо наступне рішення пов’язане з попереднім, голова Загальних зборів повинен оголосити перерву до оприлюднення результатів голосування з попереднього питання. Якщо в голосуванні на Загальних зборах бере участь значна кількість акціонерів, і підрахунок голосів потребує значного часу, лічильна комісія може оголосити попередні результати голосування на Загальних зборах. При цьому попередні результати голосування можуть оголошуватися лише в разі, якщо підраховано не менше, ніж 75 (сімдесят п’ять) відсотків голосів акціонерів, які зареєструвалися для участі у Загальних зборах. Інші процедурні питання вирішуються головою Загальних зборів одноособово.</w:t>
      </w:r>
    </w:p>
    <w:p w:rsidR="00CC2B0E" w:rsidRDefault="00CC2B0E" w:rsidP="00CC2B0E">
      <w:pPr>
        <w:numPr>
          <w:ilvl w:val="0"/>
          <w:numId w:val="1"/>
        </w:numPr>
        <w:shd w:val="clear" w:color="auto" w:fill="FFFFFF"/>
        <w:ind w:left="0" w:firstLine="0"/>
        <w:jc w:val="both"/>
        <w:rPr>
          <w:sz w:val="20"/>
          <w:szCs w:val="20"/>
          <w:lang w:val="uk-UA"/>
        </w:rPr>
      </w:pPr>
      <w:r>
        <w:rPr>
          <w:sz w:val="20"/>
          <w:szCs w:val="20"/>
          <w:lang w:val="uk-UA"/>
        </w:rPr>
        <w:t>Прийняття рішення за наслідками розгляду звіту виконавчого органу Товариства за 2017 фінансовий рік.</w:t>
      </w:r>
    </w:p>
    <w:p w:rsidR="00CC2B0E" w:rsidRDefault="00CC2B0E" w:rsidP="00CC2B0E">
      <w:pPr>
        <w:keepNext/>
        <w:keepLines/>
        <w:jc w:val="both"/>
        <w:rPr>
          <w:i/>
          <w:sz w:val="20"/>
          <w:szCs w:val="20"/>
          <w:lang w:val="uk-UA"/>
        </w:rPr>
      </w:pPr>
      <w:r>
        <w:rPr>
          <w:b/>
          <w:sz w:val="20"/>
          <w:szCs w:val="20"/>
          <w:lang w:val="uk-UA"/>
        </w:rPr>
        <w:lastRenderedPageBreak/>
        <w:t xml:space="preserve">Пропонується (проект рішення): </w:t>
      </w:r>
      <w:r>
        <w:rPr>
          <w:i/>
          <w:sz w:val="20"/>
          <w:szCs w:val="20"/>
          <w:lang w:val="uk-UA"/>
        </w:rPr>
        <w:t>Прийняти до відома та затвердити звіт виконавчого органу Товариства за 2017 фінансовий рік.</w:t>
      </w:r>
    </w:p>
    <w:p w:rsidR="00CC2B0E" w:rsidRDefault="00CC2B0E" w:rsidP="00CC2B0E">
      <w:pPr>
        <w:numPr>
          <w:ilvl w:val="0"/>
          <w:numId w:val="1"/>
        </w:numPr>
        <w:shd w:val="clear" w:color="auto" w:fill="FFFFFF"/>
        <w:ind w:left="0" w:firstLine="0"/>
        <w:jc w:val="both"/>
        <w:rPr>
          <w:sz w:val="20"/>
          <w:szCs w:val="20"/>
          <w:lang w:val="uk-UA"/>
        </w:rPr>
      </w:pPr>
      <w:r>
        <w:rPr>
          <w:sz w:val="20"/>
          <w:szCs w:val="20"/>
          <w:lang w:val="uk-UA"/>
        </w:rPr>
        <w:t>Прийняття рішення за наслідками розгляду звіту Наглядової ради Товариства за 2017 рік.</w:t>
      </w:r>
    </w:p>
    <w:p w:rsidR="00CC2B0E" w:rsidRDefault="00CC2B0E" w:rsidP="00CC2B0E">
      <w:pPr>
        <w:keepNext/>
        <w:keepLines/>
        <w:jc w:val="both"/>
        <w:rPr>
          <w:i/>
          <w:sz w:val="20"/>
          <w:szCs w:val="20"/>
          <w:lang w:val="uk-UA"/>
        </w:rPr>
      </w:pPr>
      <w:r>
        <w:rPr>
          <w:b/>
          <w:sz w:val="20"/>
          <w:szCs w:val="20"/>
          <w:lang w:val="uk-UA"/>
        </w:rPr>
        <w:t xml:space="preserve">Пропонується (проект рішення): </w:t>
      </w:r>
      <w:r>
        <w:rPr>
          <w:i/>
          <w:sz w:val="20"/>
          <w:szCs w:val="20"/>
          <w:lang w:val="uk-UA"/>
        </w:rPr>
        <w:t>Прийняти до відома та затвердити звіт Наглядової ради Товариства за 2017 рік.</w:t>
      </w:r>
    </w:p>
    <w:p w:rsidR="00CC2B0E" w:rsidRDefault="00CC2B0E" w:rsidP="00CC2B0E">
      <w:pPr>
        <w:keepNext/>
        <w:keepLines/>
        <w:numPr>
          <w:ilvl w:val="0"/>
          <w:numId w:val="1"/>
        </w:numPr>
        <w:ind w:left="0" w:firstLine="0"/>
        <w:jc w:val="both"/>
        <w:rPr>
          <w:sz w:val="20"/>
          <w:szCs w:val="20"/>
          <w:lang w:val="uk-UA"/>
        </w:rPr>
      </w:pPr>
      <w:r>
        <w:rPr>
          <w:sz w:val="20"/>
          <w:szCs w:val="20"/>
          <w:lang w:val="uk-UA"/>
        </w:rPr>
        <w:t>Затвердження річного звіту та балансу Товариства за 2017 рік.</w:t>
      </w:r>
    </w:p>
    <w:p w:rsidR="00CC2B0E" w:rsidRDefault="00CC2B0E" w:rsidP="00CC2B0E">
      <w:pPr>
        <w:keepNext/>
        <w:keepLines/>
        <w:jc w:val="both"/>
        <w:rPr>
          <w:i/>
          <w:sz w:val="20"/>
          <w:szCs w:val="20"/>
          <w:lang w:val="uk-UA"/>
        </w:rPr>
      </w:pPr>
      <w:r>
        <w:rPr>
          <w:b/>
          <w:sz w:val="20"/>
          <w:szCs w:val="20"/>
          <w:lang w:val="uk-UA"/>
        </w:rPr>
        <w:t xml:space="preserve">Пропонується (проект рішення): </w:t>
      </w:r>
      <w:r>
        <w:rPr>
          <w:i/>
          <w:sz w:val="20"/>
          <w:szCs w:val="20"/>
          <w:lang w:val="uk-UA"/>
        </w:rPr>
        <w:t>Затвердити річний звіт та баланс Товариства за 2017 рік (у формі річної фінансової звітності) з наступними основними показниками:</w:t>
      </w:r>
      <w:r>
        <w:rPr>
          <w:b/>
          <w:i/>
          <w:sz w:val="20"/>
          <w:szCs w:val="20"/>
          <w:lang w:val="uk-UA"/>
        </w:rPr>
        <w:t xml:space="preserve"> </w:t>
      </w:r>
      <w:r>
        <w:rPr>
          <w:i/>
          <w:sz w:val="20"/>
          <w:szCs w:val="20"/>
          <w:lang w:val="uk-UA"/>
        </w:rPr>
        <w:t>сукупні активи Товариства станом на 31 грудня 2017 року: 69 498 000 гривень;</w:t>
      </w:r>
      <w:r>
        <w:rPr>
          <w:b/>
          <w:i/>
          <w:sz w:val="20"/>
          <w:szCs w:val="20"/>
          <w:lang w:val="uk-UA"/>
        </w:rPr>
        <w:t xml:space="preserve"> </w:t>
      </w:r>
      <w:r>
        <w:rPr>
          <w:i/>
          <w:sz w:val="20"/>
          <w:szCs w:val="20"/>
          <w:lang w:val="uk-UA"/>
        </w:rPr>
        <w:t>чистий прибуток Товариства за 2017 рік: 512 000 гривень.</w:t>
      </w:r>
    </w:p>
    <w:p w:rsidR="00CC2B0E" w:rsidRDefault="00CC2B0E" w:rsidP="00CC2B0E">
      <w:pPr>
        <w:keepNext/>
        <w:keepLines/>
        <w:numPr>
          <w:ilvl w:val="0"/>
          <w:numId w:val="1"/>
        </w:numPr>
        <w:ind w:left="0" w:firstLine="0"/>
        <w:jc w:val="both"/>
        <w:rPr>
          <w:sz w:val="20"/>
          <w:szCs w:val="20"/>
          <w:lang w:val="uk-UA"/>
        </w:rPr>
      </w:pPr>
      <w:r>
        <w:rPr>
          <w:sz w:val="20"/>
          <w:szCs w:val="20"/>
          <w:lang w:val="uk-UA"/>
        </w:rPr>
        <w:t>Розподіл прибутку або покриття збитків за підсумками роботи Товариства у 2017 році</w:t>
      </w:r>
    </w:p>
    <w:p w:rsidR="00CC2B0E" w:rsidRDefault="00CC2B0E" w:rsidP="00CC2B0E">
      <w:pPr>
        <w:keepNext/>
        <w:keepLines/>
        <w:jc w:val="both"/>
        <w:rPr>
          <w:i/>
          <w:sz w:val="20"/>
          <w:szCs w:val="20"/>
          <w:lang w:val="uk-UA"/>
        </w:rPr>
      </w:pPr>
      <w:r>
        <w:rPr>
          <w:b/>
          <w:sz w:val="20"/>
          <w:szCs w:val="20"/>
          <w:lang w:val="uk-UA"/>
        </w:rPr>
        <w:t xml:space="preserve">Пропонується (проект рішення): </w:t>
      </w:r>
      <w:r>
        <w:rPr>
          <w:i/>
          <w:sz w:val="20"/>
          <w:szCs w:val="20"/>
          <w:lang w:val="uk-UA"/>
        </w:rPr>
        <w:t>Розподілити чистий прибуток Товариства за 2017 рік у сумі 512 000 гривень наступним чином:</w:t>
      </w:r>
      <w:r>
        <w:rPr>
          <w:b/>
          <w:i/>
          <w:sz w:val="20"/>
          <w:szCs w:val="20"/>
          <w:lang w:val="uk-UA"/>
        </w:rPr>
        <w:t xml:space="preserve"> </w:t>
      </w:r>
      <w:r>
        <w:rPr>
          <w:i/>
          <w:sz w:val="20"/>
          <w:szCs w:val="20"/>
          <w:lang w:val="uk-UA"/>
        </w:rPr>
        <w:t>чистий прибуток Товариства за 2017 рік у сумі 512 000 гривень залишити у складі нерозподіленого прибутку Товариства.</w:t>
      </w:r>
    </w:p>
    <w:p w:rsidR="00CC2B0E" w:rsidRDefault="00CC2B0E" w:rsidP="00CC2B0E">
      <w:pPr>
        <w:keepNext/>
        <w:keepLines/>
        <w:jc w:val="both"/>
        <w:rPr>
          <w:b/>
          <w:i/>
          <w:sz w:val="20"/>
          <w:szCs w:val="20"/>
          <w:lang w:val="uk-UA"/>
        </w:rPr>
      </w:pPr>
    </w:p>
    <w:p w:rsidR="00CC2B0E" w:rsidRDefault="00CC2B0E" w:rsidP="00CC2B0E">
      <w:pPr>
        <w:jc w:val="center"/>
        <w:rPr>
          <w:b/>
          <w:sz w:val="20"/>
          <w:szCs w:val="20"/>
          <w:lang w:val="uk-UA"/>
        </w:rPr>
      </w:pPr>
      <w:r>
        <w:rPr>
          <w:b/>
          <w:sz w:val="20"/>
          <w:szCs w:val="20"/>
          <w:lang w:val="uk-UA"/>
        </w:rPr>
        <w:t>Основні показники фінансово-господарської діяльності Товариства 2017-2016рр.(тис.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5"/>
        <w:gridCol w:w="1477"/>
        <w:gridCol w:w="1585"/>
      </w:tblGrid>
      <w:tr w:rsidR="00CC2B0E" w:rsidTr="00CC2B0E">
        <w:trPr>
          <w:tblCellSpacing w:w="22" w:type="dxa"/>
        </w:trPr>
        <w:tc>
          <w:tcPr>
            <w:tcW w:w="342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Найменування показника </w:t>
            </w:r>
          </w:p>
        </w:tc>
        <w:tc>
          <w:tcPr>
            <w:tcW w:w="151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період</w:t>
            </w:r>
          </w:p>
        </w:tc>
      </w:tr>
      <w:tr w:rsidR="00CC2B0E" w:rsidTr="00CC2B0E">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2B0E" w:rsidRDefault="00CC2B0E">
            <w:pPr>
              <w:rPr>
                <w:sz w:val="20"/>
                <w:szCs w:val="20"/>
                <w:lang w:val="uk-UA"/>
              </w:rPr>
            </w:pP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звітний</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попередній</w:t>
            </w:r>
          </w:p>
        </w:tc>
      </w:tr>
      <w:tr w:rsidR="00CC2B0E" w:rsidTr="00CC2B0E">
        <w:trPr>
          <w:trHeight w:val="250"/>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Усього активів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69498</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65256</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Основні засоби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39959</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33873</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Довгострокові фінансові інвестиції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Запаси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uk-UA"/>
              </w:rPr>
              <w:t>1</w:t>
            </w:r>
            <w:r>
              <w:rPr>
                <w:sz w:val="20"/>
                <w:szCs w:val="20"/>
                <w:lang w:val="en-US"/>
              </w:rPr>
              <w:t>0519</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11497</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Сумарна дебіторська заборгованість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4280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7433</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Грошові кошти та їх еквіваленти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3358</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1889</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Нерозподілений прибуток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3657</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uk-UA"/>
              </w:rPr>
              <w:t>3145</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Власний капітал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4130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3618</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Статутний капітал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473</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uk-UA"/>
              </w:rPr>
              <w:t>473</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Довгострокові зобов'язання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5 404</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5 404</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Поточні зобов'язання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59964</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56234</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Чистий прибуток (збиток)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512</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100</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Середньорічна кількість акцій (шт.)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1 890 400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1 890 400</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Кількість власних акцій, викуплених протягом періоду (шт.)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0</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Загальна сума коштів, витрачених на викуп власних акцій протягом періоду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0</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uk-UA"/>
              </w:rPr>
            </w:pPr>
            <w:r>
              <w:rPr>
                <w:sz w:val="20"/>
                <w:szCs w:val="20"/>
                <w:lang w:val="uk-UA"/>
              </w:rPr>
              <w:t>0</w:t>
            </w:r>
          </w:p>
        </w:tc>
      </w:tr>
      <w:tr w:rsidR="00CC2B0E" w:rsidTr="00CC2B0E">
        <w:trPr>
          <w:tblCellSpacing w:w="22" w:type="dxa"/>
        </w:trPr>
        <w:tc>
          <w:tcPr>
            <w:tcW w:w="3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both"/>
              <w:rPr>
                <w:sz w:val="20"/>
                <w:szCs w:val="20"/>
                <w:lang w:val="uk-UA"/>
              </w:rPr>
            </w:pPr>
            <w:r>
              <w:rPr>
                <w:sz w:val="20"/>
                <w:szCs w:val="20"/>
                <w:lang w:val="uk-UA"/>
              </w:rPr>
              <w:t>Чисельність працівників на кінець періоду (осіб) </w:t>
            </w:r>
          </w:p>
        </w:tc>
        <w:tc>
          <w:tcPr>
            <w:tcW w:w="7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en-US"/>
              </w:rPr>
              <w:t>189</w:t>
            </w:r>
          </w:p>
        </w:tc>
        <w:tc>
          <w:tcPr>
            <w:tcW w:w="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C2B0E" w:rsidRDefault="00CC2B0E">
            <w:pPr>
              <w:jc w:val="center"/>
              <w:rPr>
                <w:sz w:val="20"/>
                <w:szCs w:val="20"/>
                <w:lang w:val="en-US"/>
              </w:rPr>
            </w:pPr>
            <w:r>
              <w:rPr>
                <w:sz w:val="20"/>
                <w:szCs w:val="20"/>
                <w:lang w:val="uk-UA"/>
              </w:rPr>
              <w:t>16</w:t>
            </w:r>
            <w:r>
              <w:rPr>
                <w:sz w:val="20"/>
                <w:szCs w:val="20"/>
                <w:lang w:val="en-US"/>
              </w:rPr>
              <w:t>6</w:t>
            </w:r>
          </w:p>
        </w:tc>
      </w:tr>
    </w:tbl>
    <w:p w:rsidR="00CC2B0E" w:rsidRDefault="00CC2B0E" w:rsidP="00CC2B0E">
      <w:pPr>
        <w:jc w:val="both"/>
        <w:rPr>
          <w:sz w:val="20"/>
          <w:szCs w:val="20"/>
          <w:lang w:val="uk-UA"/>
        </w:rPr>
      </w:pPr>
    </w:p>
    <w:p w:rsidR="00CC2B0E" w:rsidRDefault="00CC2B0E" w:rsidP="00CC2B0E">
      <w:pPr>
        <w:ind w:firstLine="708"/>
        <w:jc w:val="both"/>
        <w:rPr>
          <w:sz w:val="20"/>
          <w:szCs w:val="20"/>
          <w:lang w:val="uk-UA"/>
        </w:rPr>
      </w:pPr>
      <w:r>
        <w:rPr>
          <w:sz w:val="20"/>
          <w:szCs w:val="20"/>
          <w:lang w:val="uk-UA"/>
        </w:rPr>
        <w:t>Акціонери Товариства можуть ознайомитися з матеріалами, пов’язаними з проектом порядком денним Загальних зборів, за адресою: Україна, 32326, Хмельницька область, Кам’янець-Подільській район, село Вербка, вул. Заводська  буд. 1, адміністративна будівля</w:t>
      </w:r>
      <w:r>
        <w:rPr>
          <w:b/>
          <w:sz w:val="20"/>
          <w:szCs w:val="20"/>
          <w:lang w:val="uk-UA"/>
        </w:rPr>
        <w:t xml:space="preserve"> </w:t>
      </w:r>
      <w:r>
        <w:rPr>
          <w:sz w:val="20"/>
          <w:szCs w:val="20"/>
          <w:lang w:val="uk-UA"/>
        </w:rPr>
        <w:t xml:space="preserve">ПАТ «ПОДІЛЬСЬКІ ТОВТРИ», актовий зал у робочі дні з 11:00 до 16:00, а в день проведення Загальних зборів – також у місці їх проведення. Телефони для довідок: 067 108 61 04, контактна особа Бобров Вячеслав Віталійович. Крім того, за цією ж адресою акціонери Товариства можуть у письмовій формі внести свої пропозиції щодо проекту порядку денного Загальних зборів відповідно до закону. </w:t>
      </w:r>
      <w:r>
        <w:rPr>
          <w:sz w:val="20"/>
          <w:szCs w:val="20"/>
        </w:rPr>
        <w:t>Кожний акціонер має право внести пропозиції щодо питань, включених до проекту порядку денного Зборів. Пропозиції вносяться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Акціонер має право оскарження до суду рішення Товариства про відмову у включенні його пропозицій до проекту порядку денного та надавати письмові запитання щодо питань включених до проекту порядку денного Зборів</w:t>
      </w:r>
      <w:r>
        <w:rPr>
          <w:sz w:val="20"/>
          <w:szCs w:val="20"/>
          <w:lang w:val="uk-UA"/>
        </w:rPr>
        <w:t>.</w:t>
      </w:r>
      <w:r>
        <w:rPr>
          <w:sz w:val="20"/>
          <w:szCs w:val="20"/>
        </w:rPr>
        <w:t xml:space="preserve"> Станом на </w:t>
      </w:r>
      <w:r>
        <w:rPr>
          <w:sz w:val="20"/>
          <w:szCs w:val="20"/>
          <w:lang w:val="uk-UA"/>
        </w:rPr>
        <w:t xml:space="preserve">12 березня </w:t>
      </w:r>
      <w:r>
        <w:rPr>
          <w:sz w:val="20"/>
          <w:szCs w:val="20"/>
        </w:rPr>
        <w:t xml:space="preserve">2018р., дату складання переліку осіб, яким надсилається повідомлення про проведення Зборів, загальна кількість акцій складає </w:t>
      </w:r>
      <w:r>
        <w:rPr>
          <w:sz w:val="20"/>
          <w:szCs w:val="20"/>
          <w:lang w:val="uk-UA"/>
        </w:rPr>
        <w:t>1 890 400 шт.</w:t>
      </w:r>
      <w:r>
        <w:rPr>
          <w:sz w:val="20"/>
          <w:szCs w:val="20"/>
        </w:rPr>
        <w:t xml:space="preserve">, голосуючих акцій – </w:t>
      </w:r>
      <w:r w:rsidR="000F32AD">
        <w:rPr>
          <w:sz w:val="20"/>
          <w:szCs w:val="20"/>
          <w:lang w:val="uk-UA"/>
        </w:rPr>
        <w:t xml:space="preserve">1630596 </w:t>
      </w:r>
      <w:bookmarkStart w:id="0" w:name="_GoBack"/>
      <w:bookmarkEnd w:id="0"/>
      <w:r>
        <w:rPr>
          <w:sz w:val="20"/>
          <w:szCs w:val="20"/>
          <w:lang w:val="uk-UA"/>
        </w:rPr>
        <w:t>шт</w:t>
      </w:r>
      <w:r>
        <w:rPr>
          <w:sz w:val="20"/>
          <w:szCs w:val="20"/>
        </w:rPr>
        <w:t>.</w:t>
      </w:r>
    </w:p>
    <w:p w:rsidR="00CC2B0E" w:rsidRDefault="00CC2B0E" w:rsidP="00CC2B0E">
      <w:pPr>
        <w:ind w:firstLine="708"/>
        <w:jc w:val="both"/>
        <w:rPr>
          <w:b/>
          <w:sz w:val="20"/>
          <w:szCs w:val="20"/>
          <w:lang w:val="uk-UA"/>
        </w:rPr>
      </w:pPr>
      <w:r>
        <w:rPr>
          <w:sz w:val="20"/>
          <w:szCs w:val="20"/>
          <w:lang w:val="uk-UA"/>
        </w:rPr>
        <w:t>Адреса веб-сайту, на якому розміщена інформація з проектами рішень щодо кожного з питань, включених до проекту порядку денного: http://ptovtry.pat.ua</w:t>
      </w:r>
      <w:r>
        <w:rPr>
          <w:b/>
          <w:sz w:val="20"/>
          <w:szCs w:val="20"/>
          <w:lang w:val="uk-UA"/>
        </w:rPr>
        <w:t>.</w:t>
      </w:r>
    </w:p>
    <w:p w:rsidR="00CC2B0E" w:rsidRDefault="00CC2B0E" w:rsidP="00CC2B0E">
      <w:pPr>
        <w:jc w:val="both"/>
        <w:rPr>
          <w:b/>
          <w:sz w:val="20"/>
          <w:szCs w:val="20"/>
          <w:lang w:val="uk-UA"/>
        </w:rPr>
      </w:pPr>
    </w:p>
    <w:p w:rsidR="00CC2B0E" w:rsidRDefault="00CC2B0E" w:rsidP="00CC2B0E">
      <w:pPr>
        <w:jc w:val="both"/>
        <w:rPr>
          <w:b/>
          <w:sz w:val="20"/>
          <w:szCs w:val="20"/>
          <w:lang w:val="uk-UA"/>
        </w:rPr>
      </w:pPr>
    </w:p>
    <w:p w:rsidR="00CC2B0E" w:rsidRDefault="00CC2B0E" w:rsidP="00CC2B0E">
      <w:pPr>
        <w:jc w:val="both"/>
        <w:rPr>
          <w:b/>
          <w:sz w:val="20"/>
          <w:szCs w:val="20"/>
          <w:lang w:val="uk-UA"/>
        </w:rPr>
      </w:pPr>
      <w:r>
        <w:rPr>
          <w:b/>
          <w:sz w:val="20"/>
          <w:szCs w:val="20"/>
          <w:lang w:val="uk-UA"/>
        </w:rPr>
        <w:t xml:space="preserve">Генеральний директор  </w:t>
      </w:r>
    </w:p>
    <w:p w:rsidR="00CC2B0E" w:rsidRDefault="00CC2B0E" w:rsidP="00CC2B0E">
      <w:pPr>
        <w:jc w:val="both"/>
        <w:rPr>
          <w:sz w:val="20"/>
          <w:szCs w:val="20"/>
          <w:lang w:val="uk-UA"/>
        </w:rPr>
      </w:pPr>
      <w:r>
        <w:rPr>
          <w:b/>
          <w:sz w:val="20"/>
          <w:szCs w:val="20"/>
          <w:lang w:val="uk-UA"/>
        </w:rPr>
        <w:t xml:space="preserve">ПАТ «ПОДІЛЬСЬКІ ТОВТРИ»                       </w:t>
      </w:r>
      <w:r>
        <w:rPr>
          <w:b/>
          <w:sz w:val="20"/>
          <w:szCs w:val="20"/>
          <w:lang w:val="uk-UA"/>
        </w:rPr>
        <w:tab/>
      </w:r>
      <w:r>
        <w:rPr>
          <w:b/>
          <w:sz w:val="20"/>
          <w:szCs w:val="20"/>
          <w:lang w:val="uk-UA"/>
        </w:rPr>
        <w:tab/>
        <w:t xml:space="preserve">                 </w:t>
      </w:r>
      <w:r>
        <w:rPr>
          <w:b/>
          <w:sz w:val="20"/>
          <w:szCs w:val="20"/>
          <w:lang w:val="uk-UA"/>
        </w:rPr>
        <w:tab/>
      </w:r>
      <w:r>
        <w:rPr>
          <w:b/>
          <w:sz w:val="20"/>
          <w:szCs w:val="20"/>
          <w:lang w:val="uk-UA"/>
        </w:rPr>
        <w:tab/>
      </w:r>
      <w:r>
        <w:rPr>
          <w:b/>
          <w:sz w:val="20"/>
          <w:szCs w:val="20"/>
          <w:lang w:val="uk-UA"/>
        </w:rPr>
        <w:tab/>
        <w:t>Воробйов О.С.</w:t>
      </w:r>
    </w:p>
    <w:p w:rsidR="007967BF" w:rsidRPr="00CC2B0E" w:rsidRDefault="007967BF">
      <w:pPr>
        <w:rPr>
          <w:lang w:val="uk-UA"/>
        </w:rPr>
      </w:pPr>
    </w:p>
    <w:sectPr w:rsidR="007967BF" w:rsidRPr="00CC2B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2DE"/>
    <w:multiLevelType w:val="hybridMultilevel"/>
    <w:tmpl w:val="DC428F02"/>
    <w:lvl w:ilvl="0" w:tplc="AE8489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6A9A"/>
    <w:rsid w:val="000F32AD"/>
    <w:rsid w:val="002E6A9A"/>
    <w:rsid w:val="003C7BA4"/>
    <w:rsid w:val="007967BF"/>
    <w:rsid w:val="0082432E"/>
    <w:rsid w:val="00CC2B0E"/>
    <w:rsid w:val="00EF34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E"/>
    <w:rPr>
      <w:sz w:val="24"/>
      <w:szCs w:val="24"/>
      <w:lang w:val="ru-RU" w:eastAsia="ru-RU"/>
    </w:rPr>
  </w:style>
  <w:style w:type="paragraph" w:styleId="1">
    <w:name w:val="heading 1"/>
    <w:basedOn w:val="a"/>
    <w:next w:val="a"/>
    <w:link w:val="10"/>
    <w:qFormat/>
    <w:rsid w:val="0082432E"/>
    <w:pPr>
      <w:keepNext/>
      <w:jc w:val="center"/>
      <w:outlineLvl w:val="0"/>
    </w:pPr>
    <w:rPr>
      <w:b/>
    </w:rPr>
  </w:style>
  <w:style w:type="paragraph" w:styleId="2">
    <w:name w:val="heading 2"/>
    <w:basedOn w:val="a"/>
    <w:next w:val="a"/>
    <w:link w:val="20"/>
    <w:qFormat/>
    <w:rsid w:val="0082432E"/>
    <w:pPr>
      <w:keepNext/>
      <w:spacing w:before="240" w:after="60"/>
      <w:outlineLvl w:val="1"/>
    </w:pPr>
    <w:rPr>
      <w:rFonts w:ascii="Arial" w:hAnsi="Arial"/>
      <w:b/>
      <w:i/>
      <w:szCs w:val="20"/>
    </w:rPr>
  </w:style>
  <w:style w:type="paragraph" w:styleId="4">
    <w:name w:val="heading 4"/>
    <w:basedOn w:val="a"/>
    <w:next w:val="a"/>
    <w:link w:val="40"/>
    <w:qFormat/>
    <w:rsid w:val="0082432E"/>
    <w:pPr>
      <w:keepNext/>
      <w:ind w:firstLine="709"/>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32E"/>
    <w:rPr>
      <w:b/>
      <w:sz w:val="24"/>
      <w:szCs w:val="24"/>
      <w:lang w:eastAsia="ar-SA"/>
    </w:rPr>
  </w:style>
  <w:style w:type="character" w:customStyle="1" w:styleId="20">
    <w:name w:val="Заголовок 2 Знак"/>
    <w:basedOn w:val="a0"/>
    <w:link w:val="2"/>
    <w:rsid w:val="0082432E"/>
    <w:rPr>
      <w:rFonts w:ascii="Arial" w:hAnsi="Arial"/>
      <w:b/>
      <w:i/>
      <w:sz w:val="24"/>
      <w:lang w:val="ru-RU" w:eastAsia="ar-SA"/>
    </w:rPr>
  </w:style>
  <w:style w:type="character" w:customStyle="1" w:styleId="40">
    <w:name w:val="Заголовок 4 Знак"/>
    <w:basedOn w:val="a0"/>
    <w:link w:val="4"/>
    <w:rsid w:val="0082432E"/>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E"/>
    <w:rPr>
      <w:sz w:val="24"/>
      <w:szCs w:val="24"/>
      <w:lang w:val="ru-RU" w:eastAsia="ru-RU"/>
    </w:rPr>
  </w:style>
  <w:style w:type="paragraph" w:styleId="1">
    <w:name w:val="heading 1"/>
    <w:basedOn w:val="a"/>
    <w:next w:val="a"/>
    <w:link w:val="10"/>
    <w:qFormat/>
    <w:rsid w:val="0082432E"/>
    <w:pPr>
      <w:keepNext/>
      <w:jc w:val="center"/>
      <w:outlineLvl w:val="0"/>
    </w:pPr>
    <w:rPr>
      <w:b/>
    </w:rPr>
  </w:style>
  <w:style w:type="paragraph" w:styleId="2">
    <w:name w:val="heading 2"/>
    <w:basedOn w:val="a"/>
    <w:next w:val="a"/>
    <w:link w:val="20"/>
    <w:qFormat/>
    <w:rsid w:val="0082432E"/>
    <w:pPr>
      <w:keepNext/>
      <w:spacing w:before="240" w:after="60"/>
      <w:outlineLvl w:val="1"/>
    </w:pPr>
    <w:rPr>
      <w:rFonts w:ascii="Arial" w:hAnsi="Arial"/>
      <w:b/>
      <w:i/>
      <w:szCs w:val="20"/>
    </w:rPr>
  </w:style>
  <w:style w:type="paragraph" w:styleId="4">
    <w:name w:val="heading 4"/>
    <w:basedOn w:val="a"/>
    <w:next w:val="a"/>
    <w:link w:val="40"/>
    <w:qFormat/>
    <w:rsid w:val="0082432E"/>
    <w:pPr>
      <w:keepNext/>
      <w:ind w:firstLine="709"/>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32E"/>
    <w:rPr>
      <w:b/>
      <w:sz w:val="24"/>
      <w:szCs w:val="24"/>
      <w:lang w:eastAsia="ar-SA"/>
    </w:rPr>
  </w:style>
  <w:style w:type="character" w:customStyle="1" w:styleId="20">
    <w:name w:val="Заголовок 2 Знак"/>
    <w:basedOn w:val="a0"/>
    <w:link w:val="2"/>
    <w:rsid w:val="0082432E"/>
    <w:rPr>
      <w:rFonts w:ascii="Arial" w:hAnsi="Arial"/>
      <w:b/>
      <w:i/>
      <w:sz w:val="24"/>
      <w:lang w:val="ru-RU" w:eastAsia="ar-SA"/>
    </w:rPr>
  </w:style>
  <w:style w:type="character" w:customStyle="1" w:styleId="40">
    <w:name w:val="Заголовок 4 Знак"/>
    <w:basedOn w:val="a0"/>
    <w:link w:val="4"/>
    <w:rsid w:val="0082432E"/>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5814</Words>
  <Characters>3314</Characters>
  <Application>Microsoft Office Word</Application>
  <DocSecurity>0</DocSecurity>
  <Lines>27</Lines>
  <Paragraphs>18</Paragraphs>
  <ScaleCrop>false</ScaleCrop>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2018-03-15T09:28:00Z</dcterms:created>
  <dcterms:modified xsi:type="dcterms:W3CDTF">2018-03-15T18:53:00Z</dcterms:modified>
</cp:coreProperties>
</file>